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FinaV — Risikotragfähigkeitsinformationen auf zusammengefasster Ebene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19.08.2020 (konsolidierte Textfassung, kein amtliches Inkrafttretensdatum)</w:t>
      </w:r>
    </w:p>
    <w:p>
      <w:r>
        <w:t xml:space="preserve">(1) Übergeordnete Unternehmen einer Gruppe, zu der mindestens ein Kreditinstitut mit Sitz im Inland gehört, haben die Risikotragfähigkeitsinformationen der Gruppe auf zusammengefasster Ebene gemäß § 8 Absatz 1 einzureichen und hierfür die Formulare aus den Anlagen 14 bis 26 dieser Verordnung zu verwenden.</w:t>
      </w:r>
    </w:p>
    <w:p>
      <w:r>
        <w:t xml:space="preserve">(2) Gehören zu einer Gruppe keine inländischen Kreditinstitute, die weder Wertpapierhandelsbank noch Kreditinstitut im Sinne des § 53b oder § 53c Absatz 1 Nummer 2 des Kreditwesengesetzes sind, so ist das übergeordnete Unternehmen von der Pflicht, Risikotragfähigkeitsinformationen nach Absatz 1 einzureichen, befreit.</w:t>
      </w:r>
    </w:p>
    <w:p>
      <w:r>
        <w:rPr>
          <w:color w:val="555555"/>
          <w:sz w:val="17"/>
        </w:rPr>
        <w:t xml:space="preserve">Zitiervorschlag: § 11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