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FinaV — Risikotragfähigkeitsinformationen von Kreditinstituten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19.08.2020 (konsolidierte Textfassung, kein amtliches Inkrafttretensdatum)</w:t>
      </w:r>
    </w:p>
    <w:p>
      <w:r>
        <w:t xml:space="preserve">(1) Kreditinstitute haben die Angaben gemäß § 8 Absatz 1 zu melden und hierfür die Formulare aus den Anlagen 14 und 17 bis 26 dieser Verordnung zu verwenden.</w:t>
      </w:r>
    </w:p>
    <w:p>
      <w:r>
        <w:t xml:space="preserve">(2) Kreditinstitute im Sinne des § 53b und des § 53c Absatz 1 Nummer 2 des Kreditwesengesetzes und Wertpapierhandelsbanken im Sinne des § 1 Absatz 3d Satz 5 des Kreditwesengesetzes sind von der Pflicht, Risikotragfähigkeitsinformationen nach Absatz 1 einzureichen, befreit.</w:t>
      </w:r>
    </w:p>
    <w:p>
      <w:r>
        <w:t xml:space="preserve">(3) Kreditinstitute, die nach § 2a Absatz 2 des Kreditwesengesetzes für das Management von Risiken mit Ausnahme des Liquiditätsrisikos von den Anforderungen an eine ordnungsgemäße Geschäftsorganisation gemäß § 25a Absatz 1 des Kreditwesengesetzes freigestellt sind, sind von der Pflicht, Risikotragfähigkeitsinformationen nach Absatz 1 einzureichen, befreit. Satz 1 gilt entsprechend für Kreditinstitute, für die eine solche Freistellung gemäß § 2a Absatz 5 des Kreditwesengesetzes als gewährt gilt.</w:t>
      </w:r>
    </w:p>
    <w:p>
      <w:r>
        <w:rPr>
          <w:color w:val="555555"/>
          <w:sz w:val="17"/>
        </w:rPr>
        <w:t xml:space="preserve">Zitiervorschlag: § 10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