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FinaV — Anwendungsbereich</w:t>
      </w:r>
    </w:p>
    <w:p>
      <w:r>
        <w:rPr>
          <w:color w:val="555555"/>
          <w:sz w:val="18"/>
        </w:rPr>
        <w:t xml:space="preserve">Finanz- und Risikotragfähigkeitsinformationenverordnung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alle Institute im Sinne des § 1 Absatz 1b des Kreditwesengesetzes sowie für übergeordnete Unternehmen im Sinne des § 10a Absatz 1 Satz 2, 4 bis 8 und Absatz 2, jeweils auch in Verbindung mit Absatz 3, des Kreditwesengesetzes.</w:t>
      </w:r>
    </w:p>
    <w:p>
      <w:r>
        <w:rPr>
          <w:color w:val="555555"/>
          <w:sz w:val="17"/>
        </w:rPr>
        <w:t xml:space="preserve">Zitiervorschlag: § 1 FinaV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