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FinVermV — Zugang</w:t>
      </w:r>
    </w:p>
    <w:p>
      <w:r>
        <w:rPr>
          <w:color w:val="555555"/>
          <w:sz w:val="18"/>
        </w:rPr>
        <w:t xml:space="preserve">Finanzanlagenvermittlungsverordnung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Angaben nach § 6 Satz 1 Nummer 2 und 9 dürfen nicht automatisiert abgerufen werden. Die Registerbehörde darf zu diesen Angaben nur den in § 11a Absatz 7 der Gewerbeordnung genannten Behörden Auskunft geben.</w:t>
      </w:r>
    </w:p>
    <w:p>
      <w:r>
        <w:rPr>
          <w:color w:val="555555"/>
          <w:sz w:val="17"/>
        </w:rPr>
        <w:t xml:space="preserve">Zitiervorschlag: § 8 FinVermV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