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FinVermV — Aufbewahrung</w:t>
      </w:r>
    </w:p>
    <w:p>
      <w:r>
        <w:rPr>
          <w:color w:val="555555"/>
          <w:sz w:val="18"/>
        </w:rPr>
        <w:t xml:space="preserve">Finanzanlagenvermittlungsverordnung</w:t>
      </w:r>
    </w:p>
    <w:p>
      <w:r>
        <w:rPr>
          <w:color w:val="555555"/>
          <w:sz w:val="18"/>
        </w:rPr>
        <w:t xml:space="preserve">Stand: 01.08.2020 (konsolidierte Textfassung, kein amtliches Inkrafttretensdatum)</w:t>
      </w:r>
    </w:p>
    <w:p>
      <w:r>
        <w:t xml:space="preserve">Die Aufzeichnungen nach § 18a Absatz 1 Satz 1 und Absatz 4 sowie die in § 22 genannten Unterlagen sind zehn Jahre auf einem dauerhaften Datenträger vorzuhalten und so aufzubewahren, dass sie von den Geschäftsräumen aus jederzeit zugänglich sind. Die Aufbewahrungsfrist beginnt mit dem Ende des Kalenderjahres, in dem der letzte aufzeichnungspflichtige Vorgang für den jeweiligen Auftrag angefallen ist.</w:t>
      </w:r>
    </w:p>
    <w:p>
      <w:r>
        <w:rPr>
          <w:color w:val="555555"/>
          <w:sz w:val="17"/>
        </w:rPr>
        <w:t xml:space="preserve">Zitiervorschlag: § 23 FinVermV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