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FinVermV — Unzulässigkeit der Annahme von Geldern und Anteilen von Anlegern</w:t>
      </w:r>
    </w:p>
    <w:p>
      <w:r>
        <w:rPr>
          <w:color w:val="555555"/>
          <w:sz w:val="18"/>
        </w:rPr>
        <w:t xml:space="preserve">Finanzanlagenvermittlungsverordnung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Gewerbetreibende ist nicht befugt, sich im Zusammenhang mit der Finanzanlagenberatung oder -vermittlung nach § 34f Absatz 1 Satz 1 der Gewerbeordnung oder der Honorar-Finanzanlagenberatung nach § 34h Absatz 1 Satz 1 der Gewerbeordnung Eigentum oder Besitz an Geldern oder Anteilen von Anlegern zu verschaffen.</w:t>
      </w:r>
    </w:p>
    <w:p>
      <w:r>
        <w:rPr>
          <w:color w:val="555555"/>
          <w:sz w:val="17"/>
        </w:rPr>
        <w:t xml:space="preserve">Zitiervorschlag: § 20 FinVermV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https://recht.nulegal.eu/gesetze/FinVermV/20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