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FinVermV — Anfertigung einer Geeignetheitserklärung</w:t>
      </w:r>
    </w:p>
    <w:p>
      <w:r>
        <w:rPr>
          <w:color w:val="555555"/>
          <w:sz w:val="18"/>
        </w:rPr>
        <w:t xml:space="preserve">Finanzanlagenvermittlungsverordnung</w:t>
      </w:r>
    </w:p>
    <w:p>
      <w:r>
        <w:rPr>
          <w:color w:val="555555"/>
          <w:sz w:val="18"/>
        </w:rPr>
        <w:t xml:space="preserve">Stand: 01.08.2020 (konsolidierte Textfassung, kein amtliches Inkrafttretensdatum)</w:t>
      </w:r>
    </w:p>
    <w:p>
      <w:r>
        <w:t xml:space="preserve">(1) Der Gewerbetreibende muss dem Anleger, der Privatkunde im Sinne des § 67 Absatz 3 des Wertpapierhandelsgesetzes ist, auf einem dauerhaften Datenträger vor Vertragsschluss eine Erklärung über die Geeignetheit der im Rahmen der Anlageberatung gegebenen Empfehlung (Geeignetheitserklärung) zur Verfügung stellen. Die Geeignetheitserklärung muss die erbrachte Anlageberatung nennen und erläutern, wie sie auf die Präferenzen, Anlageziele und die sonstigen Merkmale des Anlegers abgestimmt wurde. Artikel 54 Absatz 12 der Delegierten Verordnung (EU) 2017/565 der Kommission ist entsprechend anzuwenden.</w:t>
      </w:r>
    </w:p>
    <w:p>
      <w:r>
        <w:t xml:space="preserve">(2) Wird für die Anlageberatung ein Fernkommunikationsmittel gewählt, das die Übermittlung der Geeignetheitserklärung vor Vertragsschluss nicht erlaubt, darf der Gewerbetreibende die Geeignetheitserklärung ausnahmsweise unverzüglich nach dem Vertragsschluss zur Verfügung stellen, wenn der Anleger dem zugestimmt hat und der Gewerbetreibende dem Anleger angeboten hat, die Weiterleitung des Auftrags an die depotführende Bank, das Wertpapierdienstleistungsunternehmen oder den Emittenten zu verschieben, damit der Anleger die Möglichkeit hat, die Geeignetheitserklärung zuvor zu erhalten.</w:t>
      </w:r>
    </w:p>
    <w:p>
      <w:r>
        <w:t xml:space="preserve">(3) Sofern der Gewerbetreibende dem Anleger anbietet, dass er die Geeignetheit der empfohlenen Finanzanlagen regelmäßig beurteilt, ist er verpflichtet, dem Anleger regelmäßige Berichte über die Geeignetheit der Anlage zur Verfügung zu stellen, die insbesondere eine Erklärung darüber enthalten, wie die Anlage den Präferenzen, den Anlagezielen und den sonstigen Merkmalen des Anlegers entspricht.</w:t>
      </w:r>
    </w:p>
    <w:p>
      <w:r>
        <w:rPr>
          <w:color w:val="555555"/>
          <w:sz w:val="17"/>
        </w:rPr>
        <w:t xml:space="preserve">Zitiervorschlag: § 18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