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FinVermV — Bereitstellung des Informationsblatts</w:t>
      </w:r>
    </w:p>
    <w:p>
      <w:r>
        <w:rPr>
          <w:color w:val="555555"/>
          <w:sz w:val="18"/>
        </w:rPr>
        <w:t xml:space="preserve">Finanzanlagenvermittlungsverordnung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Fall einer Anlageberatung über Vermögensanlagen im Sinne des § 1 Absatz 2 des Vermögensanlagengesetzes hat der Gewerbetreibende dem Anleger rechtzeitig vor dem Abschluss eines Geschäfts über jede Vermögensanlage, auf die sich eine Kaufempfehlung bezieht, das Vermögensanlagen-Informationsblatt, wenn ein solches nach § 13 des Vermögensanlagengesetzes zu erstellen ist, zur Verfügung zu stellen.</w:t>
      </w:r>
    </w:p>
    <w:p>
      <w:r>
        <w:rPr>
          <w:color w:val="555555"/>
          <w:sz w:val="17"/>
        </w:rPr>
        <w:t xml:space="preserve">Zitiervorschlag: § 15 FinVermV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https://recht.nulegal.eu/gesetze/FinVermV/15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