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FinVermV — Redliche, eindeutige und nicht irreführende Informationen und Werbung</w:t>
      </w:r>
    </w:p>
    <w:p>
      <w:r>
        <w:rPr>
          <w:color w:val="555555"/>
          <w:sz w:val="18"/>
        </w:rPr>
        <w:t xml:space="preserve">Finanzanlagenvermittlungsverordnung</w:t>
      </w:r>
    </w:p>
    <w:p>
      <w:r>
        <w:rPr>
          <w:color w:val="555555"/>
          <w:sz w:val="18"/>
        </w:rPr>
        <w:t xml:space="preserve">Stand: 01.08.2020 (konsolidierte Textfassung, kein amtliches Inkrafttretensdatum)</w:t>
      </w:r>
    </w:p>
    <w:p>
      <w:r>
        <w:t xml:space="preserve">(1) Alle Informationen einschließlich Werbemitteilungen, die der Gewerbetreibende dem Anleger zugänglich macht, müssen redlich, eindeutig und nicht irreführend sein. Wichtige Aussagen oder Warnungen dürfen nicht verschleiert oder abgeschwächt dargestellt werden. Werbemitteilungen müssen eindeutig als solche erkennbar sein.</w:t>
      </w:r>
    </w:p>
    <w:p>
      <w:r>
        <w:t xml:space="preserve">(2) Unbeschadet des Absatzes 1 gilt für die vom Gewerbetreibenden verwendete oder veranlasste Werbung in Textform für den Erwerb von Anteilen oder Aktien an Investmentvermögen im Sinne des § 1 Absatz 1 des Kapitalanlagegesetzbuchs § 302 Absatz 1 bis 6 des Kapitalanlagegesetzbuchs entsprechend.</w:t>
      </w:r>
    </w:p>
    <w:p>
      <w:r>
        <w:t xml:space="preserve">(3) Enthält eine Werbemitteilung eine Willenserklärung, die unmittelbar auf die Herbeiführung eines Vertragsschlusses über eine Finanzanlage gerichtet ist, oder eine Aufforderung an den Anleger, ein solches Angebot abzugeben und ist die Art und Weise der Antwort oder ein Antwortformular vorgegeben, so sind bereits in der Werbemitteilung die Informationen nach § 13 Absatz 2 anzugeben, soweit diese für den Vertragsschluss relevant sind.</w:t>
      </w:r>
    </w:p>
    <w:p>
      <w:r>
        <w:t xml:space="preserve">(4) Der Gewerbetreibende darf den Namen der Bundesanstalt für Finanzdienstleistungsaufsicht nicht in einer Weise nennen, die so verstanden werden kann, dass Finanzanlagen im Sinne des § 34f Absatz 1 Satz 1 Nummer 2 und 3 der Gewerbeordnung von der Bundesanstalt gebilligt oder genehmigt werden oder worden sind.</w:t>
      </w:r>
    </w:p>
    <w:p>
      <w:r>
        <w:t xml:space="preserve">(5) Hinsichtlich der Anforderungen an Werbemitteilungen und an faire, klare und nicht irreführende Informationen des Anlegers sind die Artikel 36 und 44 der Delegierten Verordnung (EU) 2017/565 der Kommission entsprechend anzuwenden.</w:t>
      </w:r>
    </w:p>
    <w:p>
      <w:r>
        <w:rPr>
          <w:color w:val="555555"/>
          <w:sz w:val="17"/>
        </w:rPr>
        <w:t xml:space="preserve">Zitiervorschlag: § 14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