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FinVermV — Information des Anlegers über Vergütungen und Zuwendungen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Gewerbetreibende ist verpflichtet, den Anleger vor Beginn der Anlageberatung oder -vermittlung und vor Abschluss des Beratungsvertrages in Textform rechtzeitig und in verständlicher Form darüber zu informieren,</w:t>
      </w:r>
    </w:p>
    <w:p>
      <w:pPr>
        <w:ind w:left="420"/>
      </w:pPr>
      <w:r>
        <w:t xml:space="preserve">1. ob er vom Anleger eine Vergütung verlangt und in welcher Art und Weise diese berechnet wird oder</w:t>
      </w:r>
    </w:p>
    <w:p>
      <w:pPr>
        <w:ind w:left="420"/>
      </w:pPr>
      <w:r>
        <w:t xml:space="preserve">2. ob im Zusammenhang mit der Anlageberatung oder -vermittlung Zuwendungen von Dritten angenommen oder behalten werden dürfen.</w:t>
      </w:r>
    </w:p>
    <w:p>
      <w:r>
        <w:rPr>
          <w:color w:val="555555"/>
          <w:sz w:val="17"/>
        </w:rPr>
        <w:t xml:space="preserve">Zitiervorschlag: § 12a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https://recht.nulegal.eu/gesetze/FinVermV/12a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