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FinVermV — Statusbezogene Informationspflichten</w:t>
      </w:r>
    </w:p>
    <w:p>
      <w:r>
        <w:rPr>
          <w:color w:val="555555"/>
          <w:sz w:val="18"/>
        </w:rPr>
        <w:t xml:space="preserve">Finanzanlagenvermittlungsverordnung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Der Gewerbetreibende hat dem Anleger vor der ersten Anlageberatung oder -vermittlung folgende Angaben klar und verständlich in Textform mitzuteilen:</w:t>
      </w:r>
    </w:p>
    <w:p>
      <w:pPr>
        <w:ind w:left="420"/>
      </w:pPr>
      <w:r>
        <w:t xml:space="preserve">1. seinen Namen und seinen Vornamen sowie die Firma der Personenhandelsgesellschaften, in denen der Eintragungspflichtige als geschäftsführender Gesellschafter tätig ist,</w:t>
      </w:r>
    </w:p>
    <w:p>
      <w:pPr>
        <w:ind w:left="420"/>
      </w:pPr>
      <w:r>
        <w:t xml:space="preserve">2. seine betriebliche Anschrift sowie weitere Angaben, die es dem Anleger ermöglichen, schnell und unmittelbar mit ihm in Kontakt zu treten; insbesondere eine Telefonnummer und eine E-Mail-Adresse oder Faxnummer,</w:t>
      </w:r>
    </w:p>
    <w:p>
      <w:pPr>
        <w:ind w:left="420"/>
      </w:pPr>
      <w:r>
        <w:t xml:space="preserve">3. ob er in das Register nach § 34f Absatz 5 in Verbindung mit § 11a Absatz 1 der Gewerbeordnung eingetragen ist</w:t>
      </w:r>
    </w:p>
    <w:p>
      <w:pPr>
        <w:ind w:left="780"/>
      </w:pPr>
      <w:r>
        <w:t xml:space="preserve">a) als Finanzanlagenvermittler mit einer Erlaubnis nach § 34f Absatz 1 Satz 1 Nummer 1, 2 oder Nummer 3 der Gewerbeordnung oder</w:t>
      </w:r>
    </w:p>
    <w:p>
      <w:pPr>
        <w:ind w:left="780"/>
      </w:pPr>
      <w:r>
        <w:t xml:space="preserve">b) als Honorar-Finanzanlagenberater mit einer Erlaubnis nach § 34h Absatz 1 Satz 1 in Verbindung mit Satz 3 und § 34f Absatz 1 Satz 1 Nummer 1, 2 oder Nummer 3 der Gewerbeordnung,</w:t>
      </w:r>
    </w:p>
    <w:p>
      <w:pPr>
        <w:ind w:left="420"/>
      </w:pPr>
      <w:r>
        <w:t xml:space="preserve">3a. wie sich die Eintragung nach Nummer 3 überprüfen lässt,</w:t>
      </w:r>
    </w:p>
    <w:p>
      <w:pPr>
        <w:ind w:left="420"/>
      </w:pPr>
      <w:r>
        <w:t xml:space="preserve">4. die Emittenten und Anbieter, zu deren Finanzanlagen er Vermittlungs- oder Beratungsleistungen anbietet, sowie</w:t>
      </w:r>
    </w:p>
    <w:p>
      <w:pPr>
        <w:ind w:left="420"/>
      </w:pPr>
      <w:r>
        <w:t xml:space="preserve">5. die Anschrift der für die Erlaubniserteilung nach § 34f Absatz 1 oder § 34h Absatz 1 der Gewerbeordnung zuständigen Behörde sowie die Registrierungsnummer, unter der er im Register eingetragen ist.</w:t>
      </w:r>
    </w:p>
    <w:p>
      <w:r>
        <w:t xml:space="preserve">(2) Besitzt der Gewerbetreibende auch eine Erlaubnis nach § 34d Absatz 1 oder 2 der Gewerbeordnung, so werden die Informationspflichten nach Absatz 1 durch die Informationspflichten nach § 15 der Versicherungsvermittlungsverordnung erfüllt, sofern die nach Absatz 1 erforderlichen Angaben enthalten sind.</w:t>
      </w:r>
    </w:p>
    <w:p>
      <w:r>
        <w:t xml:space="preserve">(3) Die Angaben nach Absatz 1 dürfen mündlich mitgeteilt werden, wenn der Anleger dies wünscht. In diesem Fall sind dem Anleger die Angaben unverzüglich nach Vertragsschluss in Textform zur Verfügung zu stellen.</w:t>
      </w:r>
    </w:p>
    <w:p>
      <w:r>
        <w:t xml:space="preserve">(4) Sonstige Vorschriften über Informationspflichten des Gewerbetreibenden bleiben unberührt.</w:t>
      </w:r>
    </w:p>
    <w:p>
      <w:r>
        <w:rPr>
          <w:color w:val="555555"/>
          <w:sz w:val="17"/>
        </w:rPr>
        <w:t xml:space="preserve">Zitiervorschlag: § 12 FinVermV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