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FinVermV — Vermeidung, Regelung und Offenlegung von Interessenkonflikten, Vergütung</w:t>
      </w:r>
    </w:p>
    <w:p>
      <w:r>
        <w:rPr>
          <w:color w:val="555555"/>
          <w:sz w:val="18"/>
        </w:rPr>
        <w:t xml:space="preserve">Finanzanlagenvermittlungsverordnung</w:t>
      </w:r>
    </w:p>
    <w:p>
      <w:r>
        <w:rPr>
          <w:color w:val="555555"/>
          <w:sz w:val="18"/>
        </w:rPr>
        <w:t xml:space="preserve">Stand: 25.06.2023 (konsolidierte Textfassung, kein amtliches Inkrafttretensdatum)</w:t>
      </w:r>
    </w:p>
    <w:p>
      <w:r>
        <w:t xml:space="preserve">(1) Der Gewerbetreibende muss angemessene Maßnahmen treffen, um Interessenkonflikte zu erkennen und zu vermeiden, die zwischen ihm und den bei der Vermittlung und Beratung mitwirkenden Beschäftigten einerseits und den Anlegern andererseits sowie zwischen den Anlegern auftreten können. Sofern ein Interessenkonflikt nicht vermieden werden kann, hat der Gewerbetreibende diesen durch angemessene Maßnahmen so zu regeln, dass das Risiko der Beeinträchtigung von Anlegerinteressen vermieden wird.</w:t>
      </w:r>
    </w:p>
    <w:p>
      <w:r>
        <w:t xml:space="preserve">(2) Reichen die Maßnahmen nach Absatz 1 nicht aus, um nach vernünftigem Ermessen zu gewährleisten, dass keine Beeinträchtigung der Interessen des Anlegers riskiert wird, legt der Gewerbetreibende dem Anleger die allgemeine Art oder die Quellen von Interessenkonflikten rechtzeitig vor Abschluss eines Geschäfts eindeutig offen. Die Mitteilung hat mittels eines dauerhaften Datenträgers zu erfolgen und muss so ausführlich sein, dass der Anleger seine Entscheidung über die Anlageberatung oder Anlagevermittlung, in deren Zusammenhang der Interessenkonflikt auftritt, in voller Kenntnis der Sachlage treffen kann.</w:t>
      </w:r>
    </w:p>
    <w:p>
      <w:r>
        <w:t xml:space="preserve">(3) Der Gewerbetreibende darf seine Beschäftigten nicht in einer Weise vergüten oder bewerten, die mit ihrer Pflicht, im bestmöglichen Interesse des Anlegers zu handeln, unvereinbar ist. Der Gewerbetreibende darf keine Vorkehrungen durch die Vergütung, Verkaufsziele oder in anderer Weise treffen, durch die Anreize für ihn selbst oder seine Beschäftigten geschaffen werden könnten, einem Anleger eine bestimmte Finanzanlage zu empfehlen, obwohl er eine andere, den Bedürfnissen des Anlegers besser entsprechende Finanzanlage anbieten kann. Hinsichtlich der Vergütung und Bewertung der Beschäftigten nach Satz 1 gilt Artikel 27 Absatz 1, 2, 3 Satz 2 und Absatz 4 der Delegierten Verordnung (EU) 2017/565 der Kommission vom 25. April 2016 zur Ergänzung der Richtlinie 2014/65/EU des Europäischen Parlaments und des Rates in Bezug auf die organisatorischen Anforderungen an Wertpapierfirmen und die Bedingungen für die Ausübung ihrer Tätigkeit sowie in Bezug auf die Definition bestimmter Begriffe für die Zwecke der genannten Richtlinie (ABl. L 87 vom 31.3.2017, S. 1) in der jeweils geltenden Fassung entsprechend.</w:t>
      </w:r>
    </w:p>
    <w:p>
      <w:r>
        <w:rPr>
          <w:color w:val="555555"/>
          <w:sz w:val="17"/>
        </w:rPr>
        <w:t xml:space="preserve">Zitiervorschlag: § 11a FinVermV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https://recht.nulegal.eu/gesetze/FinVermV/11a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