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FinVermV — Allgemeine Verhaltenspflicht</w:t>
      </w:r>
    </w:p>
    <w:p>
      <w:r>
        <w:rPr>
          <w:color w:val="555555"/>
          <w:sz w:val="18"/>
        </w:rPr>
        <w:t xml:space="preserve">Finanzanlagenvermittlungsverordnung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Der Gewerbetreibende ist verpflichtet, seine Tätigkeit mit der erforderlichen Sachkenntnis, Sorgfalt und Gewissenhaftigkeit im bestmöglichen Interesse des Anlegers auszuüben.</w:t>
      </w:r>
    </w:p>
    <w:p>
      <w:r>
        <w:rPr>
          <w:color w:val="555555"/>
          <w:sz w:val="17"/>
        </w:rPr>
        <w:t xml:space="preserve">Zitiervorschlag: § 11 FinVermV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https://recht.nulegal.eu/gesetze/FinVermV/11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