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FinVermStVtrG — Zustimmung zum Finanzvermögen-Staatsvertrag</w:t>
      </w:r>
    </w:p>
    <w:p>
      <w:r>
        <w:rPr>
          <w:color w:val="555555"/>
          <w:sz w:val="18"/>
        </w:rPr>
        <w:t xml:space="preserve">Gesetz zu dem Staatsvertrag vom 14. Dezember 2012 über die abschließende Aufteilung des Finanzvermögens gemäß Artikel 22 des Einigungsvertrages zwischen dem Bund, den neuen Ländern und Berlin (Finanzvermögen-Staatsvertrag)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Staatsvertrag vom 14. Dezember 2012 über die abschließende Aufteilung des Finanzvermögens gemäß Artikel 22 des Einigungsvertrages zwischen dem Bund, den neuen Ländern und Berlin (Finanzvermögen-Staatsvertrag) wird zugestimmt.</w:t>
      </w:r>
    </w:p>
    <w:p>
      <w:r>
        <w:t xml:space="preserve">(2) Der Finanzvermögen-Staatsvertrag wird nachstehend veröffentlicht.</w:t>
      </w:r>
    </w:p>
    <w:p>
      <w:r>
        <w:rPr>
          <w:color w:val="555555"/>
          <w:sz w:val="17"/>
        </w:rPr>
        <w:t xml:space="preserve">Zitiervorschlag: Art 1 FinVermStVtrG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https://recht.nulegal.eu/gesetze/FinVermStVtrG/1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