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FinVermStVtr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Regelungen des Vermögensgesetzes und des Vermögenszuordnungsgesetzes bleiben im Übrigen von diesem Staatsvertrag unberührt.</w:t>
      </w:r>
    </w:p>
    <w:p>
      <w:r>
        <w:t xml:space="preserve">(2) Die 2002 zwischen dem Bund, dem Deutschen Städtetag, dem Deutschen Städte- und Gemeindebund und dem Deutschen Landkreistag abgeschlossene Rahmenvereinbarung über Ausgleichsleistungen für mitprivatisierte Kommunalobjekte sowie die dazu abgeschlossenen Ergänzungsvereinbarungen bleiben von diesem Staatsvertrag unberührt.</w:t>
      </w:r>
    </w:p>
    <w:p>
      <w:r>
        <w:rPr>
          <w:color w:val="555555"/>
          <w:sz w:val="17"/>
        </w:rPr>
        <w:t xml:space="preserve">Zitiervorschlag: Art 8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