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FinVermStVtr — Nicht zugeordnetes Finanzvermögen</w:t>
      </w:r>
    </w:p>
    <w:p>
      <w:r>
        <w:rPr>
          <w:color w:val="555555"/>
          <w:sz w:val="18"/>
        </w:rPr>
        <w:t xml:space="preserve">Staatsvertrag über die abschließende Aufteilung des Finanzvermögens gemäß Artikel 22 des Einigungsvertrages zwischen dem Bund, den neuen Ländern und dem Land Berlin (Finanzvermögen-Staatsvertrag)</w:t>
      </w:r>
    </w:p>
    <w:p>
      <w:r>
        <w:rPr>
          <w:color w:val="555555"/>
          <w:sz w:val="18"/>
        </w:rPr>
        <w:t xml:space="preserve">Stand: 10.06.2019 (konsolidierte Textfassung, kein amtliches Inkrafttretensdatum)</w:t>
      </w:r>
    </w:p>
    <w:p>
      <w:r>
        <w:t xml:space="preserve">Die Feststellung, was dem Finanzvermögen zugehört, erfolgt durch Zuordnungsverfahren nach dem Vermögenszuordnungsgesetz. Bund und Länder haben das gemeinsame Interesse, mehr als 20 Jahre nach der Wiedervereinigung gemeinsam mit den Kommunen zeitnah Klarheit auch über die noch nicht im Zuordnungsverfahren befindlichen Vermögenswerte zu erreichen. Die Bundesanstalt für Immobilienaufgaben wird alle Grundstücke, grundstücksgleichen Rechte und beschränkten dinglichen Rechte des Finanzvermögens gemäß Artikel 2 Absatz 1 Satz 4 dieses Staatsvertrages zur Vermögenszuordnung beantragen, soweit sie jeweils Kenntnis darüber erlangt hat. Die Kommunen können die in ihrem Gebiet belegenen unbeantragten Grundstücke des Finanzvermögens ermitteln und der Bundesanstalt für Immobilienaufgaben mitteilen sowie die für die Vermögenszuordnungsentscheidung erforderlichen Tatsachen nachvollziehbar darlegen.</w:t>
      </w:r>
    </w:p>
    <w:p>
      <w:r>
        <w:rPr>
          <w:color w:val="555555"/>
          <w:sz w:val="17"/>
        </w:rPr>
        <w:t xml:space="preserve">Zitiervorschlag: Art 7 FinVermStVtr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https://recht.nulegal.eu/gesetze/FinVermStVtr/7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