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FinVermStVtr — Regelungsgegenstand</w:t>
      </w:r>
    </w:p>
    <w:p>
      <w:r>
        <w:rPr>
          <w:color w:val="555555"/>
          <w:sz w:val="18"/>
        </w:rPr>
        <w:t xml:space="preserve">Staatsvertrag über die abschließende Aufteilung des Finanzvermögens gemäß Artikel 22 des Einigungsvertrages zwischen dem Bund, den neuen Ländern und dem Land Berlin (Finanzvermögen-Staatsvertrag)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Zusammenhang mit dem Finanzvermögen gibt es eine Reihe zwischen dem Bund und den Ländern nicht abschließend geklärter Fragen, darunter:</w:t>
      </w:r>
    </w:p>
    <w:p>
      <w:pPr>
        <w:ind w:left="420"/>
      </w:pPr>
      <w:r>
        <w:t xml:space="preserve">– die Zurechnung von Sanierungsaufwendungen der Wismut GmbH zum Finanzvermögen,</w:t>
      </w:r>
    </w:p>
    <w:p>
      <w:pPr>
        <w:ind w:left="420"/>
      </w:pPr>
      <w:r>
        <w:t xml:space="preserve">– die Zurechnung der Verbindlichkeiten der Staatlichen Versicherung der DDR in Abwicklung zum Finanzvermögen,</w:t>
      </w:r>
    </w:p>
    <w:p>
      <w:pPr>
        <w:ind w:left="420"/>
      </w:pPr>
      <w:r>
        <w:t xml:space="preserve">– die Art und der Umfang der Inanspruchnahme des Finanzvermögens für die Speisung des Entschädigungsfonds nach § 10 Absatz 1 Nummer 2 des Entschädigungsgesetzes,</w:t>
      </w:r>
    </w:p>
    <w:p>
      <w:pPr>
        <w:ind w:left="420"/>
      </w:pPr>
      <w:r>
        <w:t xml:space="preserve">– die Anrechnung des den Ländern unentgeltlich aufgelassenen Bodenreformlandes nach Artikel 233 § 16 Absatz 1 Satz 3 in Verbindung mit § 12 Absatz 2 Nummer 2 Buchstabe c des Einführungsgesetzes zum Bürgerlichen Gesetzbuche,</w:t>
      </w:r>
    </w:p>
    <w:p>
      <w:pPr>
        <w:ind w:left="420"/>
      </w:pPr>
      <w:r>
        <w:t xml:space="preserve">– die Erfassung, Abrechnung und Abführung der Veräußerungserlöse nach § 8 Absatz 4 des Vermögenszuordnungsgesetzes,</w:t>
      </w:r>
    </w:p>
    <w:p>
      <w:pPr>
        <w:ind w:left="420"/>
      </w:pPr>
      <w:r>
        <w:t xml:space="preserve">– die Berücksichtigung der den Belegenheitsgemeinden im Rahmen der Bürgermeistermodellverkäufe übertragenen volkseigenen, ehemals in Rechtsträgerschaft des Freien Deutschen Gewerkschaftsbundes stehenden Feriendienstliegenschaften (FEDI) sowie der an die Gemeinden im Rahmen der FEDI-Erlösauskehr geleisteten Zahlungen,</w:t>
      </w:r>
    </w:p>
    <w:p>
      <w:pPr>
        <w:ind w:left="420"/>
      </w:pPr>
      <w:r>
        <w:t xml:space="preserve">– die Verwaltung und Verwertung des bislang nicht zur Zuordnung beantragten ehemals volkseigenen Vermögens, soweit es dem Finanzvermögen zuzurechnen ist.</w:t>
      </w:r>
    </w:p>
    <w:p>
      <w:r>
        <w:t xml:space="preserve">Vor diesem Hintergrund und zur Vermeidung eines unverhältnismäßig hohen Aufwandes zur Klärung aller offenen Fragen haben Bund und Länder die folgende Einigung erzielt:</w:t>
      </w:r>
    </w:p>
    <w:p>
      <w:r>
        <w:rPr>
          <w:color w:val="555555"/>
          <w:sz w:val="17"/>
        </w:rPr>
        <w:t xml:space="preserve">Zitiervorschlag: Art 1 FinVermStVtr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https://recht.nulegal.eu/gesetze/FinVermStVtr/1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