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FinStabG — Zusammenarbeit mit dem Europäischen Ausschuss für Systemrisiken</w:t>
      </w:r>
    </w:p>
    <w:p>
      <w:r>
        <w:rPr>
          <w:color w:val="555555"/>
          <w:sz w:val="18"/>
        </w:rPr>
        <w:t xml:space="preserve">Finanzstabilitätsgesetz</w:t>
      </w:r>
    </w:p>
    <w:p>
      <w:r>
        <w:rPr>
          <w:color w:val="555555"/>
          <w:sz w:val="18"/>
        </w:rPr>
        <w:t xml:space="preserve">Stand: 10.06.2019 (konsolidierte Textfassung, kein amtliches Inkrafttretensdatum)</w:t>
      </w:r>
    </w:p>
    <w:p>
      <w:r>
        <w:t xml:space="preserve">(1) Der Ausschuss für Finanzstabilität arbeitet eng mit dem Europäischen Ausschuss für Systemrisiken und, soweit notwendig, mit den für die Wahrung der Finanzstabilität zuständigen Behörden der anderen Mitgliedstaaten der Europäischen Union zusammen.</w:t>
      </w:r>
    </w:p>
    <w:p>
      <w:r>
        <w:t xml:space="preserve">(2) Der Ausschuss für Finanzstabilität kann mit dem Europäischen Ausschuss für Systemrisiken und, soweit notwendig, mit den für die Wahrung der Finanzstabilität zuständigen Behörden der anderen Mitgliedstaaten der Europäischen Union Informationen austauschen, soweit diese für die Wahrung der Finanzstabilität benötigt werden.</w:t>
      </w:r>
    </w:p>
    <w:p>
      <w:r>
        <w:t xml:space="preserve">(3) Der Ausschuss für Finanzstabilität informiert den Europäischen Ausschuss für Systemrisiken über seine Warnungen und Empfehlungen. Soweit von Warnungen oder Empfehlungen wesentliche grenzüberschreitende Auswirkungen zu erwarten sind, informiert der Ausschuss für Finanzstabilität den Europäischen Ausschuss für Systemrisiken, bevor er die Warnung oder Empfehlung abgibt.</w:t>
      </w:r>
    </w:p>
    <w:p>
      <w:r>
        <w:rPr>
          <w:color w:val="555555"/>
          <w:sz w:val="17"/>
        </w:rPr>
        <w:t xml:space="preserve">Zitiervorschlag: § 4 FinStabG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