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FinStabG — Wahrung der Finanzstabilität</w:t>
      </w:r>
    </w:p>
    <w:p>
      <w:r>
        <w:rPr>
          <w:color w:val="555555"/>
          <w:sz w:val="18"/>
        </w:rPr>
        <w:t xml:space="preserve">Finanzstabilitätsgesetz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Bundesbank trägt im Inland zur Wahrung der Stabilität des Finanzsystems (Finanzstabilität) bei, indem sie insbesondere</w:t>
      </w:r>
    </w:p>
    <w:p>
      <w:pPr>
        <w:ind w:left="420"/>
      </w:pPr>
      <w:r>
        <w:t xml:space="preserve">1. für die Finanzstabilität maßgebliche Sachverhalte analysiert und Gefahren identifiziert, welche die Finanzstabilität beeinträchtigen können,</w:t>
      </w:r>
    </w:p>
    <w:p>
      <w:pPr>
        <w:ind w:left="420"/>
      </w:pPr>
      <w:r>
        <w:t xml:space="preserve">2. jährlich einen Bericht über die Lage und die Entwicklung der Finanzstabilität vorbereitet und dem Ausschuss für Finanzstabilität zur Erfüllung seiner Berichtspflicht nach § 2 Absatz 9 zur Verfügung stellt,</w:t>
      </w:r>
    </w:p>
    <w:p>
      <w:pPr>
        <w:ind w:left="420"/>
      </w:pPr>
      <w:r>
        <w:t xml:space="preserve">3. dem Ausschuss für Finanzstabilität die Abgabe von Warnungen gemäß § 3 Absatz 1 und Empfehlungen gemäß § 3 Absatz 2 vorschlägt und</w:t>
      </w:r>
    </w:p>
    <w:p>
      <w:pPr>
        <w:ind w:left="420"/>
      </w:pPr>
      <w:r>
        <w:t xml:space="preserve">4. die Umsetzungsmaßnahmen nach § 3 Absatz 4 Satz 2 bewertet und dem Ausschuss für Finanzstabilität ihre Einschätzung mitteilt.</w:t>
      </w:r>
    </w:p>
    <w:p>
      <w:r>
        <w:t xml:space="preserve">(2) Die Befugnisse der Deutschen Bundesbank nach anderen Vorschriften bleiben unberührt. § 12 des Gesetzes über die Deutsche Bundesbank gilt entsprechend.</w:t>
      </w:r>
    </w:p>
    <w:p>
      <w:r>
        <w:rPr>
          <w:color w:val="555555"/>
          <w:sz w:val="17"/>
        </w:rPr>
        <w:t xml:space="preserve">Zitiervorschlag: § 1 FinStabG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https://recht.nulegal.eu/gesetze/FinStabG/1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