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FinStabDEV</w:t>
      </w:r>
    </w:p>
    <w:p>
      <w:r>
        <w:rPr>
          <w:color w:val="555555"/>
          <w:sz w:val="18"/>
        </w:rPr>
        <w:t xml:space="preserve">Finanzstabilitätsdatenerhebungsverordnung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Auf Grund des § 6 Absatz 2 des Finanzstabilitätsgesetzes vom 28. November 2012 (BGBl. I S. 2369) verordnet das Bundesministerium der Finanzen im Einvernehmen mit der Deutschen Bundesbank:</w:t>
      </w:r>
    </w:p>
    <w:p>
      <w:r>
        <w:rPr>
          <w:color w:val="555555"/>
          <w:sz w:val="17"/>
        </w:rPr>
        <w:t xml:space="preserve">Zitiervorschlag: Eingangsformel FinStabDEV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https://recht.nulegal.eu/gesetze/FinStabDEV/eingangsformel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