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FinStabDEV — Befugnis zur Überprüfung</w:t>
      </w:r>
    </w:p>
    <w:p>
      <w:r>
        <w:rPr>
          <w:color w:val="555555"/>
          <w:sz w:val="18"/>
        </w:rPr>
        <w:t xml:space="preserve">Finanzstabilitätsdatenerhebungsverordnung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Die Deutsche Bundesbank ist befugt, auch ohne besonderen Anlass, die Richtigkeit und Qualität der übermittelten Daten zu überprüfen. Die Befugnis nach Satz 1 umfasst auch das Recht, für Zwecke einer Plausibilitätsprüfung von den Mitteilungspflichtigen</w:t>
      </w:r>
    </w:p>
    <w:p>
      <w:pPr>
        <w:ind w:left="420"/>
      </w:pPr>
      <w:r>
        <w:t xml:space="preserve">1. die Vorlage von Unterlagen zu verlangen,</w:t>
      </w:r>
    </w:p>
    <w:p>
      <w:pPr>
        <w:ind w:left="420"/>
      </w:pPr>
      <w:r>
        <w:t xml:space="preserve">2. die Bücher und Unterlagen der Mitteilungspflichtigen zu überprüfen,</w:t>
      </w:r>
    </w:p>
    <w:p>
      <w:pPr>
        <w:ind w:left="420"/>
      </w:pPr>
      <w:r>
        <w:t xml:space="preserve">3. Kopien und Auszüge aus diesen Büchern und Unterlagen anzufertigen,</w:t>
      </w:r>
    </w:p>
    <w:p>
      <w:pPr>
        <w:ind w:left="420"/>
      </w:pPr>
      <w:r>
        <w:t xml:space="preserve">4. schriftliche oder mündliche Erläuterungen zu verlangen und</w:t>
      </w:r>
    </w:p>
    <w:p>
      <w:pPr>
        <w:ind w:left="420"/>
      </w:pPr>
      <w:r>
        <w:t xml:space="preserve">5. zu diesem Zweck die Geschäftsräume der Mitteilungspflichtigen innerhalb der üblichen Betriebs- und Geschäftszeiten zu betreten.</w:t>
      </w:r>
    </w:p>
    <w:p>
      <w:r>
        <w:t xml:space="preserve">Mitteilungspflichtige haben Maßnahmen nach den Sätzen 1 und 2 zu dulden und Anforderungen nach Satz 1 zu erfüllen.</w:t>
      </w:r>
    </w:p>
    <w:p>
      <w:r>
        <w:t xml:space="preserve">(2) Soweit erforderlich, kann die Deutsche Bundesbank die gemeldeten Daten an den Mitteilungspflichtigen zur Überprüfung zurückmelden.</w:t>
      </w:r>
    </w:p>
    <w:p>
      <w:r>
        <w:t xml:space="preserve">(3) Die Überprüfung nach Absatz 1 ist von der Deutschen Bundesbank so zu gestalten, dass sie nicht zur Identifizierung oder Identifizierbarkeit der Person eines Darlehensnehmers oder anderer natürlicher Personen führt. § 3 Absatz 1 gilt entsprechend. Die Mitteilungspflichtigen haben die Deutsche Bundesbank bei der Einhaltung dieser Vorgabe durch geeignete Maßnahmen zu unterstützen. Hierauf weist die Deutsche Bundesbank die Mitteilungspflichtigen vor einer Überprüfung hin.</w:t>
      </w:r>
    </w:p>
    <w:p>
      <w:r>
        <w:rPr>
          <w:color w:val="555555"/>
          <w:sz w:val="17"/>
        </w:rPr>
        <w:t xml:space="preserve">Zitiervorschlag: § 7 FinStabDEV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https://recht.nulegal.eu/gesetze/FinStabDEV/7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