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FinSV — Übergangsregelungen</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Für die Schlichtungsverfahren bei den behördlichen Verbraucherschlichtungsstellen, die am 31. Januar 2017 noch nicht beendet waren, sind die bis zu diesem Zeitpunkt geltenden Vorschriften weiter anzuwenden.</w:t>
      </w:r>
    </w:p>
    <w:p>
      <w:r>
        <w:t xml:space="preserve">(2) Werden Schlichtungsstellen, die nach § 16 Absatz 2 des Unterlassungsklagengesetzes als anerkannte private Verbraucherschlichtungsstellen gelten, nach den Vorschriften dieser Verordnung als private Verbraucherschlichtungsstellen anerkannt, führen diese Verbraucherschlichtungsstellen die Schlichtungsverfahren, die noch nicht beendet waren als die Anerkennung wirksam wurde, noch nach den Verfahrensordnungen durch, die aufgrund der Schlichtungsstellenverfahrensverordnung oder der Kapitalanlageschlichtungsstellenverordnung genehmigt wurden.</w:t>
      </w:r>
    </w:p>
    <w:p>
      <w:r>
        <w:rPr>
          <w:color w:val="555555"/>
          <w:sz w:val="17"/>
        </w:rPr>
        <w:t xml:space="preserve">Zitiervorschlag: § 26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