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FinSV — Abgabe und Weiterleitung bei Unzuständigkeit</w:t>
      </w:r>
    </w:p>
    <w:p>
      <w:r>
        <w:rPr>
          <w:color w:val="555555"/>
          <w:sz w:val="18"/>
        </w:rPr>
        <w:t xml:space="preserve">Finanzschlichtungsstellenverordnung</w:t>
      </w:r>
    </w:p>
    <w:p>
      <w:r>
        <w:rPr>
          <w:color w:val="555555"/>
          <w:sz w:val="18"/>
        </w:rPr>
        <w:t xml:space="preserve">Stand: 10.06.2019 (konsolidierte Textfassung, kein amtliches Inkrafttretensdatum)</w:t>
      </w:r>
    </w:p>
    <w:p>
      <w:r>
        <w:t xml:space="preserve">(1) Wird eine Schlichtung wegen einer Streitigkeit nach § 14 Absatz 1 des Unterlassungsklagengesetzes bei einer unzuständigen Verbraucherschlichtungsstelle beantragt, gibt diese den Schlichtungsantrag unter Benachrichtigung des Antragstellers an die zuständige Verbraucherschlichtungsstelle ab.</w:t>
      </w:r>
    </w:p>
    <w:p>
      <w:r>
        <w:t xml:space="preserve">(2) Hat der Antragsgegner keine inländische Niederlassung, besteht aber eine Niederlassung in einem anderen Vertragsstaat des Abkommens über den Europäischen Wirtschaftsraum, unterrichtet die Verbraucherschlichtungsstelle den Antragsteller über die Möglichkeit der außergerichtlichen Streitbeilegung in diesem Vertragsstaat. Auf Antrag des Antragstellers leitet die Verbraucherschlichtungsstelle den Antrag an eine für außergerichtliche Streitbeilegung zuständige Stelle in dem anderen Vertragsstaat weiter.</w:t>
      </w:r>
    </w:p>
    <w:p>
      <w:r>
        <w:rPr>
          <w:color w:val="555555"/>
          <w:sz w:val="17"/>
        </w:rPr>
        <w:t xml:space="preserve">Zitiervorschlag: § 24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