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FinSV — Informationen zur Schlichtungsstelle und ihrem Verfahren</w:t>
      </w:r>
    </w:p>
    <w:p>
      <w:r>
        <w:rPr>
          <w:color w:val="555555"/>
          <w:sz w:val="18"/>
        </w:rPr>
        <w:t xml:space="preserve">Finanzschlichtungsstellenverordnung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der Webseite der Verbraucherschlichtungsstelle sind die Informationen zur Verbraucherschlichtungsstelle und ihrem Verfahren entsprechend § 3 der Verbraucherstreitbeilegungs-Informationspflichtenverordnung klar und verständlich zu veröffentlichen. An die Stelle der Vorschriften des Verbraucherstreitbeilegungsgesetzes treten die entsprechenden Vorschriften dieser Verordnung. Die Informationen müssen stets aktuell sein.</w:t>
      </w:r>
    </w:p>
    <w:p>
      <w:r>
        <w:t xml:space="preserve">(2) Auf Anfrage sind die auf der Webseite zu veröffentlichenden Informationen jedermann in Textform zu übermitteln.</w:t>
      </w:r>
    </w:p>
    <w:p>
      <w:r>
        <w:rPr>
          <w:color w:val="555555"/>
          <w:sz w:val="17"/>
        </w:rPr>
        <w:t xml:space="preserve">Zitiervorschlag: § 22 FinSV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https://recht.nulegal.eu/gesetze/FinSV/22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