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FinSV — Änderung der Verfahrensordnung einer Verbraucherschlichtungsstelle</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(1) Eine Änderung der Verfahrensordnung einer Verbraucherschlichtungsstelle bedarf der Zustimmung des Bundesamts für Justiz.</w:t>
      </w:r>
    </w:p>
    <w:p>
      <w:r>
        <w:t xml:space="preserve">(2) Dem Antrag des Trägers der Verbraucherschlichtungsstelle auf Zustimmung zur Änderung der Verfahrensordnung ist eine Abschrift der Verfahrensordnung beizufügen, in der die geplanten Änderungen kenntlich gemacht sind. Das Bundesamt für Justiz bestätigt dem Träger in Textform den Eingang des Antrags unter Angabe des Tages, an dem der Antrag eingegangen ist.</w:t>
      </w:r>
    </w:p>
    <w:p>
      <w:r>
        <w:t xml:space="preserve">(3) Die beantragte Zustimmung des Bundesamts für Justiz gilt als erteilt, wenn das Bundesamt für Justiz der Änderung der Verfahrensordnung nicht innerhalb von sechs Wochen, nachdem der Antrag auf Zustimmung eingegangen ist, widerspricht.</w:t>
      </w:r>
    </w:p>
    <w:p>
      <w:r>
        <w:rPr>
          <w:color w:val="555555"/>
          <w:sz w:val="17"/>
        </w:rPr>
        <w:t xml:space="preserve">Zitiervorschlag: § 17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