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FinSV — Anforderungen an die Verfahrensordnung der Schlichtungsstelle</w:t>
      </w:r>
    </w:p>
    <w:p>
      <w:r>
        <w:rPr>
          <w:color w:val="555555"/>
          <w:sz w:val="18"/>
        </w:rPr>
        <w:t xml:space="preserve">Finanzschlichtungsstellenverordnung</w:t>
      </w:r>
    </w:p>
    <w:p>
      <w:r>
        <w:rPr>
          <w:color w:val="555555"/>
          <w:sz w:val="18"/>
        </w:rPr>
        <w:t xml:space="preserve">Stand: 10.06.2019 (konsolidierte Textfassung, kein amtliches Inkrafttretensdatum)</w:t>
      </w:r>
    </w:p>
    <w:p>
      <w:r>
        <w:t xml:space="preserve">(1) Der Träger muss für die Schlichtungsstelle eine Verfahrensordnung erlassen, die die Zuständigkeit der Schlichtungsstelle für Streitigkeiten nach § 14 Absatz 1 Satz 1 des Unterlassungsklagengesetzes begründet. Die Zuständigkeit kann auf einzelne dieser Streitigkeiten oder auf diese Streitigkeiten mit bestimmten Unternehmern beschränkt werden. Die Schlichtungsstelle kann daneben auch für Streitigkeiten zuständig sein, die nicht unter § 14 Absatz 1 Satz 1 des Unterlassungsklagengesetzes fallen.</w:t>
      </w:r>
    </w:p>
    <w:p>
      <w:r>
        <w:t xml:space="preserve">(2) Die Organisation der Schlichtungsstelle und das Schlichtungsverfahren sind in der Verfahrensordnung entsprechend § 1 Absatz 5 und den §§ 2 bis 10 Absatz 1 auszugestalten. Abweichend von § 9 Absatz 3 kann bestimmt werden, dass Schlichtungsvorschläge für die an dem Schlichtungsverfahren teilnehmenden Unternehmen unter bestimmten Voraussetzungen oder bis zu einer bestimmten Höhe verbindlich sind. In der Verfahrensordnung ist anzugeben, ob und in welcher Höhe Entgelte für ein Schlichtungsverfahren von den Beteiligten verlangt werden.</w:t>
      </w:r>
    </w:p>
    <w:p>
      <w:r>
        <w:rPr>
          <w:color w:val="555555"/>
          <w:sz w:val="17"/>
        </w:rPr>
        <w:t xml:space="preserve">Zitiervorschlag: § 15 FinSV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https://recht.nulegal.eu/gesetze/FinSV/15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