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FinSV — Anerkennung von privaten Schlichtungsstellen als Verbraucherschlichtungsstellen</w:t>
      </w:r>
    </w:p>
    <w:p>
      <w:r>
        <w:rPr>
          <w:color w:val="555555"/>
          <w:sz w:val="18"/>
        </w:rPr>
        <w:t xml:space="preserve">Finanzschlichtungsstellenverordnung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private Schlichtungsstelle ist als Verbraucherschlichtungsstelle für Streitigkeiten nach § 14 Absatz 1 des Unterlassungsklagengesetzes anzuerkennen, wenn</w:t>
      </w:r>
    </w:p>
    <w:p>
      <w:pPr>
        <w:ind w:left="420"/>
      </w:pPr>
      <w:r>
        <w:t xml:space="preserve">1. ein Antrag gestellt wurde, der den Voraussetzungen des § 16 entspricht und</w:t>
      </w:r>
    </w:p>
    <w:p>
      <w:pPr>
        <w:ind w:left="420"/>
      </w:pPr>
      <w:r>
        <w:t xml:space="preserve">2. die Voraussetzungen nach § 14 des Unterlassungsklagengesetzes und nach den §§ 12 bis 15 und 22 vorliegen.</w:t>
      </w:r>
    </w:p>
    <w:p>
      <w:r>
        <w:t xml:space="preserve">(2) Wenn die Anerkennung wirksam geworden ist, hat das Bundesamt für Justiz die anerkannte Schlichtungsstelle in die Liste der Verbraucherschlichtungsstellen nach § 33 des Verbraucherstreitbeilegungsgesetzes einzutragen.</w:t>
      </w:r>
    </w:p>
    <w:p>
      <w:r>
        <w:rPr>
          <w:color w:val="555555"/>
          <w:sz w:val="17"/>
        </w:rPr>
        <w:t xml:space="preserve">Zitiervorschlag: § 11 FinSV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https://recht.nulegal.eu/gesetze/FinSV/11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