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FinSV — Organisation der Verbraucherschlichtungsstellen</w:t>
      </w:r>
    </w:p>
    <w:p>
      <w:r>
        <w:rPr>
          <w:color w:val="555555"/>
          <w:sz w:val="18"/>
        </w:rPr>
        <w:t xml:space="preserve">Finanzschlichtungsstellenverordnung</w:t>
      </w:r>
    </w:p>
    <w:p>
      <w:r>
        <w:rPr>
          <w:color w:val="555555"/>
          <w:sz w:val="18"/>
        </w:rPr>
        <w:t xml:space="preserve">Stand: 10.06.2019 (konsolidierte Textfassung, kein amtliches Inkrafttretensdatum)</w:t>
      </w:r>
    </w:p>
    <w:p>
      <w:r>
        <w:t xml:space="preserve">(1) Die Verbraucherschlichtungsstelle für die Streitigkeiten, die der Deutschen Bundesbank durch § 14 Absatz 1 Satz 2 des Unterlassungsklagengesetzes zur Schlichtung zugewiesen sind, ist am Sitz der Deutschen Bundesbank einzurichten.</w:t>
      </w:r>
    </w:p>
    <w:p>
      <w:r>
        <w:t xml:space="preserve">(2) Die Verbraucherschlichtungsstelle für die Streitigkeiten, die der Bundesanstalt für Finanzdienstleistungsaufsicht durch § 14 Absatz 1 Satz 2 des Unterlassungsklagengesetzes zur Schlichtung zugewiesen sind, ist am Sitz der Bundesanstalt für Finanzdienstleistungsaufsicht einzurichten.</w:t>
      </w:r>
    </w:p>
    <w:p>
      <w:r>
        <w:t xml:space="preserve">(3) Für die Verbraucherschlichtungsstelle sind von der Trägerin mindestens zwei Schlichter zu bestellen. Für jeden Schlichter ist ein anderer Schlichter als Vertreter zu bestellen. Zu Schlichtern kann die Trägerin nur eigene Bedienstete bestellen, die</w:t>
      </w:r>
    </w:p>
    <w:p>
      <w:pPr>
        <w:ind w:left="420"/>
      </w:pPr>
      <w:r>
        <w:t xml:space="preserve">1. die letzten drei Jahre vor der Bestellung für die Trägerin tätig waren,</w:t>
      </w:r>
    </w:p>
    <w:p>
      <w:pPr>
        <w:ind w:left="420"/>
      </w:pPr>
      <w:r>
        <w:t xml:space="preserve">2. die Befähigung zum Richteramt haben und</w:t>
      </w:r>
    </w:p>
    <w:p>
      <w:pPr>
        <w:ind w:left="420"/>
      </w:pPr>
      <w:r>
        <w:t xml:space="preserve">3. nicht zugleich die Aufsicht über Unternehmen ausüben, die den Vorschriften des Kapitalanlagegesetzbuches oder des Kreditwesengesetzes unterliegen.</w:t>
      </w:r>
    </w:p>
    <w:p>
      <w:r>
        <w:t xml:space="preserve">(4) Für die Verbraucherschlichtungsstelle ist eine Geschäftsstelle einzurichten.</w:t>
      </w:r>
    </w:p>
    <w:p>
      <w:r>
        <w:t xml:space="preserve">(5) Die Schlichtungsverfahren sind von einem Schlichter durchzuführen, der dabei von der Geschäftsstelle unterstützt wird. Vor jedem Geschäftsjahr haben die Schlichter gemeinsam ihre Zuständigkeit für die Schlichtungsverfahren schriftlich festzulegen. Diese Geschäftsverteilung kann während des Geschäftsjahres nur aus wichtigem Grund geändert werden.</w:t>
      </w:r>
    </w:p>
    <w:p>
      <w:r>
        <w:t xml:space="preserve">(6) Für die Verbraucherschlichtungsstelle muss eine Webseite und ein Zugang für die Übermittlung elektronischer Dokumente, insbesondere auch für elektronische Schlichtungsanträge, eingerichtet werden. Die Übermittlung der elektronischen Dokumente muss direkt über die Webseite oder über eine auf der Webseite angegebene E‑Mail-Adresse möglich sein.</w:t>
      </w:r>
    </w:p>
    <w:p>
      <w:r>
        <w:rPr>
          <w:color w:val="555555"/>
          <w:sz w:val="17"/>
        </w:rPr>
        <w:t xml:space="preserve">Zitiervorschlag: § 1 FinSV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