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FinRVV 2016</w:t>
      </w:r>
    </w:p>
    <w:p>
      <w:r>
        <w:rPr>
          <w:color w:val="555555"/>
          <w:sz w:val="18"/>
        </w:rPr>
        <w:t xml:space="preserve">Finanzrückversicherungsverordnung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170 Satz 1 in Verbindung mit Satz 3 des Versicherungsaufsichtsgesetzes vom 1. April 2015 (BGBl. I S. 434) verordnet das Bundesministerium der Finanzen:</w:t>
      </w:r>
    </w:p>
    <w:p>
      <w:r>
        <w:rPr>
          <w:color w:val="555555"/>
          <w:sz w:val="17"/>
        </w:rPr>
        <w:t xml:space="preserve">Zitiervorschlag: Eingangsformel FinRVV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https://recht.nulegal.eu/gesetze/FinRVV%202016/eingangsformel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