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FinRVV 2016 — Unternehmensinterne Kriterien für Finanzrückversicherungsverträge</w:t>
      </w:r>
    </w:p>
    <w:p>
      <w:r>
        <w:rPr>
          <w:color w:val="555555"/>
          <w:sz w:val="18"/>
        </w:rPr>
        <w:t xml:space="preserve">Finanzrückversicherungsverordnung</w:t>
      </w:r>
    </w:p>
    <w:p>
      <w:r>
        <w:rPr>
          <w:color w:val="555555"/>
          <w:sz w:val="18"/>
        </w:rPr>
        <w:t xml:space="preserve">Stand: 10.06.2019 (konsolidierte Textfassung, kein amtliches Inkrafttretensdatum)</w:t>
      </w:r>
    </w:p>
    <w:p>
      <w:r>
        <w:t xml:space="preserve">(1) Die Versicherungsunternehmen haben geeignete interne Kriterien zu entwickeln, nach denen sie zusätzlich zu den gesetzlichen Kriterien Rückversicherungsverträge als Finanzrückversicherungsverträge einordnen. Die internen Kriterien müssen sich in die internen Prozesse des Unternehmens einfügen und so beschaffen sein, dass eine einheitliche Anwendung im Versicherungsunternehmen gewährleistet ist. Im Falle von Versicherungsunternehmen, die einer Gruppenaufsicht unterliegen, sollen sich die internen Kriterien auch in die gruppenbezogenen internen Prozesse einfügen und eine gruppenweit einheitliche Anwendung ermöglichen.</w:t>
      </w:r>
    </w:p>
    <w:p>
      <w:r>
        <w:t xml:space="preserve">(2) Die Aufsichtsbehörde kann die Anwendung anderer oder zusätzlicher Kriterien anordnen, wenn die vom Versicherungsunternehmen verwendeten internen Kriterien nicht geeignet sind, Rückversicherungsverträge zu identifizieren, die die Merkmale des § 167 Absatz 1 Satz 1 des Versicherungsaufsichtsgesetzes erfüllen.</w:t>
      </w:r>
    </w:p>
    <w:p>
      <w:r>
        <w:rPr>
          <w:color w:val="555555"/>
          <w:sz w:val="17"/>
        </w:rPr>
        <w:t xml:space="preserve">Zitiervorschlag: § 3 FinRVV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https://recht.nulegal.eu/gesetze/FinRVV%202016/3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