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FinRVV 2016 — Inkrafttreten</w:t>
      </w:r>
    </w:p>
    <w:p>
      <w:r>
        <w:rPr>
          <w:color w:val="555555"/>
          <w:sz w:val="18"/>
        </w:rPr>
        <w:t xml:space="preserve">Finanzrückversicherungsverordnung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10 FinRVV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https://recht.nulegal.eu/gesetze/FinRVV%202016/10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