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FinRVV 2016 — Anwendungsbereich</w:t>
      </w:r>
    </w:p>
    <w:p>
      <w:r>
        <w:rPr>
          <w:color w:val="555555"/>
          <w:sz w:val="18"/>
        </w:rPr>
        <w:t xml:space="preserve">Finanzrückversicherungsverordnung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auf Versicherungsunternehmen mit Sitz im Inland und auf Niederlassungen von Versicherungsunternehmen eines Drittstaates im Sinne des § 7 Nummer 6 des Versicherungsaufsichtsgesetzes anzuwenden.</w:t>
      </w:r>
    </w:p>
    <w:p>
      <w:r>
        <w:t xml:space="preserve">(2) Auf Pensionsfonds sind die Vorschriften dieser Verordnung entsprechend anzuwenden.</w:t>
      </w:r>
    </w:p>
    <w:p>
      <w:r>
        <w:t xml:space="preserve">(3) Auf kleinere Vereine im Sinne des § 210 Absatz 1 Satz 1 des Versicherungsaufsichtsgesetzes ist diese Verordnung nicht anzuwenden.</w:t>
      </w:r>
    </w:p>
    <w:p>
      <w:r>
        <w:rPr>
          <w:color w:val="555555"/>
          <w:sz w:val="17"/>
        </w:rPr>
        <w:t xml:space="preserve">Zitiervorschlag: § 1 FinRVV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https://recht.nulegal.eu/gesetze/FinRVV%202016/1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