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FinO LFM NRW (Nordrhein-Westfalen)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Dezember 2025</w:t>
      </w:r>
    </w:p>
    <w:p>
      <w:r>
        <w:t xml:space="preserve">Auf Grund § 110 Absatz 4 des Landesmediengesetzes Nordrhein-Westfalen (LMG NRW) vom 2. Juli 2002 (GV. NRW. S. 334) erlässt die Landesanstalt für Medien Nordrhein-Westfalen (LFM NRW) folgende Satzung:</w:t>
      </w:r>
    </w:p>
    <w:p>
      <w:r>
        <w:rPr>
          <w:color w:val="555555"/>
          <w:sz w:val="17"/>
        </w:rPr>
        <w:t xml:space="preserve">Zitiervorschlag: Eingangsformel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