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FinO LFM NRW (Nordrhein-Westfalen) — Inhalt des Haushaltsplans Vollständigkeitsgebot, Verrechnungsverbot</w:t>
      </w:r>
    </w:p>
    <w:p>
      <w:r>
        <w:rPr>
          <w:color w:val="555555"/>
          <w:sz w:val="18"/>
        </w:rPr>
        <w:t xml:space="preserve">Finanzordnung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Haushaltsplan ist klar und übersichtlich aufzustellen. Er hat ein der voraussichtlichen betrieblichen und wirtschaftlichen Entwicklung der LFM NRW im Haushaltsjahr entsprechendes Bild zu vermitteln.</w:t>
      </w:r>
    </w:p>
    <w:p>
      <w:r>
        <w:t xml:space="preserve">(2) Die Einnahmen sind nach dem Entstehungsgrund, die Ausgaben und Verpflichtungsermächtigungen nach Zwecken getrennt zu veranschlagen und, soweit erforderlich, zu erläutern.</w:t>
      </w:r>
    </w:p>
    <w:p>
      <w:r>
        <w:t xml:space="preserve">(3) Der Haushaltsplan ist zu jedem Soll-Ansatz, der entsprechende Soll-Ansatz des vorhergehenden Haushaltsjahres sowie der Ist-Betrag des vorletzten Haushaltsjahres anzugeben. Sind die Beträge nicht vergleichbar, so ist dies anzugeben und zu erläutern. Wird der Vorjahresbetrag aus Vergleichsgründen angepasst, so ist dies ebenfalls anzugeben und zu erläutern.</w:t>
      </w:r>
    </w:p>
    <w:p>
      <w:r>
        <w:t xml:space="preserve">(4) Erträge und Aufwendungen dürfen nicht miteinander verrechnet werden.</w:t>
      </w:r>
    </w:p>
    <w:p>
      <w:r>
        <w:t xml:space="preserve">(5) Der Finanzplan hat alle Posten der Mittelaufbringung und der Mittelverwendung zu enthalten. Posten der Mittelverwendung dürfen nicht mit Posten der Mittelaufbringung verrechnet werden.</w:t>
      </w:r>
    </w:p>
    <w:p>
      <w:r>
        <w:rPr>
          <w:color w:val="555555"/>
          <w:sz w:val="17"/>
        </w:rPr>
        <w:t xml:space="preserve">Zitiervorschlag: § 5 FinO LFM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https://recht.nulegal.eu/gesetze/FinO%20LFM%20NRW/5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