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43 FinO LFM NRW (Nordrhein-Westfalen) — Rechnungsabgrenzungsposten</w:t>
      </w:r>
    </w:p>
    <w:p>
      <w:r>
        <w:rPr>
          <w:color w:val="555555"/>
          <w:sz w:val="18"/>
        </w:rPr>
        <w:t xml:space="preserve">Finanzordnung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Als Rechnungsabgrenzungsposten sind analog § 250 Absatz 1 HGB in der jeweils geltenden Fassung auf der Aktivseite Ausgaben vor dem Abschlussstichtag auszuweisen, soweit sie Aufwand nach diesem Tag darstellen.</w:t>
      </w:r>
    </w:p>
    <w:p>
      <w:r>
        <w:t xml:space="preserve">(2) Als Rechnungsabgrenzungsposten sind analog § 250 Absatz 2 HGB in der jeweils geltenden Fassung auf der Passivseite Einnahmen vor dem Abschlussstichtag auszuweisen, soweit sie Ertrag für eine bestimmte Zeit nach diesem Tag darstellen.</w:t>
      </w:r>
    </w:p>
    <w:p>
      <w:r>
        <w:rPr>
          <w:color w:val="555555"/>
          <w:sz w:val="17"/>
        </w:rPr>
        <w:t xml:space="preserve">Zitiervorschlag: § 43 FinO LFM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https://recht.nulegal.eu/gesetze/FinO%20LFM%20NRW/43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