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42 FinO LFM NRW (Nordrhein-Westfalen) — Umlaufvermögen</w:t>
      </w:r>
    </w:p>
    <w:p>
      <w:r>
        <w:rPr>
          <w:color w:val="555555"/>
          <w:sz w:val="18"/>
        </w:rPr>
        <w:t xml:space="preserve">Finanzordnung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Zum Umlaufvermögen gehören analog § 266 HGB in der jeweils geltenden Fassung insbesondere Vorräte, Forderungen und sonstige Vermögensgegenstände, Wertpapiere und liquide Mittel.</w:t>
      </w:r>
    </w:p>
    <w:p>
      <w:r>
        <w:t xml:space="preserve">(2) Vermögensgegenstände des Umlaufvermögens sind mit den Anschaffungs- oder Herstellungskosten, vermindert um Abschreibungen anzusetzen. Bei Vermögensgegenständen des Umlaufvermögens sind analog § 253 Absatz 4 HGB in der jeweils geltenden Fassung Abschreibungen vorzunehmen, um diese mit einem niedrigeren Wert anzusetzen, der sich aus einem Börsen- oder Marktpreis am Abschlussstichtag ergibt. Ist ein Börsen- oder Marktpreis nicht festzustellen und übersteigen die Anschaffungs- oder Herstellungskosten den Wert, der den Vermögensgegenständen am Abschlussstichtag beizulegen ist, so ist auf diesen Wert abzuschreiben.</w:t>
      </w:r>
    </w:p>
    <w:p>
      <w:r>
        <w:t xml:space="preserve">(3) Nach § 40 Absatz 3 zu verrechnende Vermögensgegenstände sind mit ihrem beizulegenden Zeitwert zu bewerten.</w:t>
      </w:r>
    </w:p>
    <w:p>
      <w:r>
        <w:rPr>
          <w:color w:val="555555"/>
          <w:sz w:val="17"/>
        </w:rPr>
        <w:t xml:space="preserve">Zitiervorschlag: § 42 FinO LFM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https://recht.nulegal.eu/gesetze/FinO%20LFM%20NRW/42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42 FinO LFM NRW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