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41 FinO LFM NRW (Nordrhein-Westfalen) — Anlagevermögen</w:t>
      </w:r>
    </w:p>
    <w:p>
      <w:r>
        <w:rPr>
          <w:color w:val="555555"/>
          <w:sz w:val="18"/>
        </w:rPr>
        <w:t xml:space="preserve">Finanzordnung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Beim Anlagevermögen sind analog §§ 247 Absatz 2, 266 HGB in der jeweils geltenden Fassung die Vermögensgegenstände auszuweisen, die bestimmt sind, dauernd dem Geschäftsbetrieb der LFM NRW zu dienen.</w:t>
      </w:r>
    </w:p>
    <w:p>
      <w:r>
        <w:t xml:space="preserve">(2) Zu den Sachanlagen des Anlagevermögens gehören Grundstücke und grundstücksgleiche Rechte mit Geschäftsbauten, Grundstücke und grundstücksgleiche Rechte ohne Bauten, Bauten auf fremden Grundstücken einschließlich Mietereinbauten, technische Anlagen, Maschinen und andere Anlagen, Betriebs- und Geschäftsausstattung, Anlagen im Bau sowie die auf Sachanlagen geleisteten Anzahlungen.</w:t>
      </w:r>
    </w:p>
    <w:p>
      <w:r>
        <w:t xml:space="preserve">(3) Zum Anlagevermögen gehören auch Finanzanlagen, wie Beteiligungen, Wertpapiere und Ausleihungen sowie die auf Finanzanlagen geleisteten Anzahlungen.</w:t>
      </w:r>
    </w:p>
    <w:p>
      <w:r>
        <w:t xml:space="preserve">(4) Vermögensgegenstände des Anlagevermögens sind entsprechend der Vorschriften des § 253 HGB in der jeweils geltenden Fassung bei Zugang und in der Folge zu bewerten. Finanzanlagen dürfen nur bei voraussichtlich dauernder Wertminderung abgeschrieben werden.</w:t>
      </w:r>
    </w:p>
    <w:p>
      <w:r>
        <w:rPr>
          <w:color w:val="555555"/>
          <w:sz w:val="17"/>
        </w:rPr>
        <w:t xml:space="preserve">Zitiervorschlag: § 41 FinO LFM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https://recht.nulegal.eu/gesetze/FinO%20LFM%20NRW/41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41 FinO LFM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