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FinO LFM NRW (Nordrhein-Westfalen) — Gliederung und Inhalt der Haushaltsrechnung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Haushaltsrechnung besteht aus einer Gesamtrechnung, aus Einzelrechnungen und der Finanzrechnung.</w:t>
      </w:r>
    </w:p>
    <w:p>
      <w:r>
        <w:t xml:space="preserve">(2) Die Gesamtrechnung hat sämtliche Erträge und Aufwendungen zu enthalten und ist für das abgelaufene Haushaltsjahr nach der im Gesamtplan vorgesehenen Gliederung gemäß § 4 unter Angabe der jeweiligen Soll-Ansätze aufzustellen.</w:t>
      </w:r>
    </w:p>
    <w:p>
      <w:r>
        <w:t xml:space="preserve">(3) Die Finanzrechnung enthält die Posten der Mittelaufbringung nach der im Finanzplan vorgesehenen Gliederung unter Angabe der jeweiligen Soll-Ansätze.</w:t>
      </w:r>
    </w:p>
    <w:p>
      <w:r>
        <w:t xml:space="preserve">(4) Gesamtrechnung und Finanzrechnung sind zu verbinden. Die auf die vorhergehende Haushaltsrechnung angewandten Ansatzmethoden sind beizubehalten.</w:t>
      </w:r>
    </w:p>
    <w:p>
      <w:r>
        <w:rPr>
          <w:color w:val="555555"/>
          <w:sz w:val="17"/>
        </w:rPr>
        <w:t xml:space="preserve">Zitiervorschlag: § 38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