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FinO LFM NRW (Nordrhein-Westfalen) — Gliederung und Inhalt des Jahresabschlusses, Vorlagefrist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Jahresabschluss der LFM NRW besteht aus der Haushaltsrechnung und der Vermögensrechnung, die miteinander zu verbinden und durch einen Geschäftsbericht zu ergänzen sind.</w:t>
      </w:r>
    </w:p>
    <w:p>
      <w:r>
        <w:t xml:space="preserve">(2) Der Jahresabschluss ist klar und übersichtlich aufzustellen. Er ist ferner so aufzustellen, dass er unter Beachtung der Grundsätze ordnungsmäßiger Buchführung ein den tatsächlichen Verhältnissen entsprechendes Bild der Vermögens-, Finanz- und Ertragslage der LFM NRW vermittelt (analog § 243 Handelsgesetzbuch (HGB) in der jeweils geltenden Fassung).</w:t>
      </w:r>
    </w:p>
    <w:p>
      <w:r>
        <w:t xml:space="preserve">(3) Der aufgestellte Jahresabschluss und Geschäftsbericht sind von der Direktorin oder vom Direktor möglichst bis zum 30. Juni des folgenden Jahres der Medienkommission vorzulegen.</w:t>
      </w:r>
    </w:p>
    <w:p>
      <w:r>
        <w:rPr>
          <w:color w:val="555555"/>
          <w:sz w:val="17"/>
        </w:rPr>
        <w:t xml:space="preserve">Zitiervorschlag: § 37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https://recht.nulegal.eu/gesetze/FinO%20LFM%20NRW/37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