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FinO LFM NRW (Nordrhein-Westfalen) — Wirkungen des Haushaltsplans</w:t>
      </w:r>
    </w:p>
    <w:p>
      <w:r>
        <w:rPr>
          <w:color w:val="555555"/>
          <w:sz w:val="18"/>
        </w:rPr>
        <w:t xml:space="preserve">Finanzordnung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Aufstellung und Ausführung des Haushaltsplans sind die Grundsätze der Sparsamkeit und Wirtschaftlichkeit zu beachten (§ 110 Absatz 1 LMG NRW).</w:t>
      </w:r>
    </w:p>
    <w:p>
      <w:r>
        <w:t xml:space="preserve">(2) Der Haushaltsplan ermächtigt die LFM NRW, Ausgaben zu leisten und finanzielle Verpflichtungen einzugehen.</w:t>
      </w:r>
    </w:p>
    <w:p>
      <w:r>
        <w:t xml:space="preserve">(3) Durch den Haushaltsplan werden Ansprüche oder Verbindlichkeiten weder begründet noch aufgehoben.</w:t>
      </w:r>
    </w:p>
    <w:p>
      <w:r>
        <w:t xml:space="preserve">(4) Haushaltsjahr ist das Kalenderjahr. Für jedes Haushaltsjahr ist ein Haushaltsplan aufzustellen.</w:t>
      </w:r>
    </w:p>
    <w:p>
      <w:r>
        <w:rPr>
          <w:color w:val="555555"/>
          <w:sz w:val="17"/>
        </w:rPr>
        <w:t xml:space="preserve">Zitiervorschlag: § 3 FinO LFM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https://recht.nulegal.eu/gesetze/FinO%20LFM%20NRW/3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