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FinO LFM NRW (Nordrhein-Westfalen) — Ausgleich des Finanzplans</w:t>
      </w:r>
    </w:p>
    <w:p>
      <w:r>
        <w:rPr>
          <w:color w:val="555555"/>
          <w:sz w:val="18"/>
        </w:rPr>
        <w:t xml:space="preserve">Finanzordnung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Finanzplan muss ein ausgeglichenes Ergebnis ausweisen.</w:t>
      </w:r>
    </w:p>
    <w:p>
      <w:r>
        <w:t xml:space="preserve">(2) Übersteigt die Summe der Mittelaufbringung die Summe der Mittelverwendung, so erhöht der sich ergebende Überschuss die liquiden Mittel.</w:t>
      </w:r>
    </w:p>
    <w:p>
      <w:r>
        <w:t xml:space="preserve">(3) Übersteigt die Summe der Mittelverwendung die Summe der Mittelaufbringung, so vermindert der sich ergebende Fehlbetrag die liquiden Mittel.</w:t>
      </w:r>
    </w:p>
    <w:p>
      <w:r>
        <w:rPr>
          <w:color w:val="555555"/>
          <w:sz w:val="17"/>
        </w:rPr>
        <w:t xml:space="preserve">Zitiervorschlag: § 25 FinO LFM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https://recht.nulegal.eu/gesetze/FinO%20LFM%20NRW/25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FinO LFM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