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FinO LFM NRW (Nordrhein-Westfalen) — Ausgleich des Gesamtplans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Gesamtplan muss ein ausgeglichenes Ergebnis ausweisen.</w:t>
      </w:r>
    </w:p>
    <w:p>
      <w:r>
        <w:t xml:space="preserve">(2) Übersteigen die Erträge die Aufwendungen, so ist der sich ergebende Überschuss dem Anstaltskapital (§ 39) in der Vermögensrechnung zuzuführen.</w:t>
      </w:r>
    </w:p>
    <w:p>
      <w:r>
        <w:t xml:space="preserve">(3) Übersteigen die Aufwendungen die Erträge, so ist der sich ergebende Fehlbetrag durch entsprechende Auflösung des Anstaltskapitals auszugleichen.</w:t>
      </w:r>
    </w:p>
    <w:p>
      <w:r>
        <w:rPr>
          <w:color w:val="555555"/>
          <w:sz w:val="17"/>
        </w:rPr>
        <w:t xml:space="preserve">Zitiervorschlag: § 24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