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FinO LFM NRW (Nordrhein-Westfalen) — Anlegen von Rücklagen</w:t>
      </w:r>
    </w:p>
    <w:p>
      <w:r>
        <w:rPr>
          <w:color w:val="555555"/>
          <w:sz w:val="18"/>
        </w:rPr>
        <w:t xml:space="preserve">Finanzordnung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Rücklagen sind einzeln zu bewirtschaften und in ihrem Bestand nachzuweisen.</w:t>
      </w:r>
    </w:p>
    <w:p>
      <w:r>
        <w:t xml:space="preserve">(2) Die Zuführungen und Entnahmen zu bzw. aus Rücklagen sind im Finanzplan zu veranschlagen.</w:t>
      </w:r>
    </w:p>
    <w:p>
      <w:r>
        <w:t xml:space="preserve">(3) Die Rücklagenbestände sind sicher und ertragsbringend anzulegen. Sie müssen für ihren Zweck rechtzeitig verfügbar sein.</w:t>
      </w:r>
    </w:p>
    <w:p>
      <w:r>
        <w:t xml:space="preserve">(4) Die Erträge aus der Anlage von Rücklagemitteln fließen der Rücklage zu.</w:t>
      </w:r>
    </w:p>
    <w:p>
      <w:r>
        <w:t xml:space="preserve">(5) Die Rücklagemittel können als innere Kassenkredite bzw. Darlehen in Anspruch genommen werden, wenn ihre Zweckbestimmung nicht beeinträchtigt wird.</w:t>
      </w:r>
    </w:p>
    <w:p>
      <w:r>
        <w:rPr>
          <w:color w:val="555555"/>
          <w:sz w:val="17"/>
        </w:rPr>
        <w:t xml:space="preserve">Zitiervorschlag: § 23 FinO LFM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https://recht.nulegal.eu/gesetze/FinO%20LFM%20NRW/23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