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FinO LFM NRW (Nordrhein-Westfalen) — Sperrvermerke, Wegfall- und Umwandlungsvermerke</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Haushaltsansätze, zu deren Lasten aus besonderen Gründen zunächst noch keine Aufwendungen geleistet oder noch keine Verpflichtungen eingegangen werden sollen, sind im Haushaltsplan in der erforderlichen Höhe als gesperrt zu bezeichnen. Die Aufhebung des Sperrvermerks bedarf der im Haushaltsplan vorgesehenen Zustimmung.</w:t>
      </w:r>
    </w:p>
    <w:p>
      <w:r>
        <w:t xml:space="preserve">(2) Im Stellenplan (§ 8) sind Planstellen als künftig wegfallend (kw) zu bezeichnen, soweit sie in den folgenden Haushaltsjahren voraussichtlich nicht mehr benötigt werden.</w:t>
      </w:r>
    </w:p>
    <w:p>
      <w:r>
        <w:t xml:space="preserve">(3) Im Stellenplan sind Planstellen als künftig umzuwandeln (ku) zu bezeichnen, soweit sie in den folgenden Haushaltsjahren voraussichtlich in Planstellen einer niedrigeren Vergütungsgruppe umgewandelt werden können.</w:t>
      </w:r>
    </w:p>
    <w:p>
      <w:r>
        <w:rPr>
          <w:color w:val="555555"/>
          <w:sz w:val="17"/>
        </w:rPr>
        <w:t xml:space="preserve">Zitiervorschlag: § 21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