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FinO LFM NRW (Nordrhein-Westfalen) — Deckungsfähigkeit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Ansätze in den Einzelplänen können jeweils für gegenseitig oder einseitig deckungsfähig erklärt werden, wenn ein verwaltungsmäßiger oder sachlicher Zusammenhang besteht oder eine wirtschaftliche und sparsame Verwendung gefördert wird.</w:t>
      </w:r>
    </w:p>
    <w:p>
      <w:r>
        <w:t xml:space="preserve">(2) Im Finanzplan können Ansätze für Investitionen für gegenseitig deckungsfähig erklärt werden, soweit hierdurch im Einzelfall die veranschlagten voraussichtlichen Gesamtausgaben (§ 9) nicht überschritten werden.</w:t>
      </w:r>
    </w:p>
    <w:p>
      <w:r>
        <w:t xml:space="preserve">(3) Ansätze, die in verschiedenen Einzelplänen veranschlagt sind, dürfen nicht für gegenseitig deckungsfähig erklärt werden. Das Gleiche gilt für Ansätze, die ohne nähere Angabe des Verwendungszwecks (Verfügungsmittel § 14) veranschlagt sind.</w:t>
      </w:r>
    </w:p>
    <w:p>
      <w:r>
        <w:rPr>
          <w:color w:val="555555"/>
          <w:sz w:val="17"/>
        </w:rPr>
        <w:t xml:space="preserve">Zitiervorschlag: § 19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