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FinO LFM NRW (Nordrhein-Westfalen) — Kredit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LFM NRW darf Kredite nur aufnehmen, wenn eine andere Finanzierung nicht möglich ist oder wirtschaftlich unzweckmäßig wäre. Kredite dürfen nur zur Finanzierung von größeren Investitionen aufgenommen werden.</w:t>
      </w:r>
    </w:p>
    <w:p>
      <w:r>
        <w:t xml:space="preserve">(2) Einnahmen aus Kreditaufnahmen und Ausgaben für Tilgungen sind im Finanzplan gesondert zu veranschlagen.</w:t>
      </w:r>
    </w:p>
    <w:p>
      <w:r>
        <w:rPr>
          <w:color w:val="555555"/>
          <w:sz w:val="17"/>
        </w:rPr>
        <w:t xml:space="preserve">Zitiervorschlag: § 16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