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FinO LFM NRW (Nordrhein-Westfalen) — Allgemeine Grundsätze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Im Haushaltsplan sind die Erträge und Aufwendungen sowie die Positionen der Mittelaufbringung und Mittelverwendung in der im Haushaltsjahr zu erwartenden Höhe zu veranschlagen.</w:t>
      </w:r>
    </w:p>
    <w:p>
      <w:r>
        <w:t xml:space="preserve">(2) Die Erträge und Aufwendungen sowie die Positionen der Mittelaufbringung und der Mittelverwendung sind in voller Höhe getrennt voneinander zu veranschlagen (Bruttoveranschlagung). Ausnahmen können im Haushaltsplan zugelassen werden; sie sind zu erläutern.</w:t>
      </w:r>
    </w:p>
    <w:p>
      <w:r>
        <w:t xml:space="preserve">(3) Die Erträge und Aufwendungen sind unabhängig von den Zeitpunkten der entsprechenden Zahlungen zu veranschlagen.</w:t>
      </w:r>
    </w:p>
    <w:p>
      <w:r>
        <w:t xml:space="preserve">(4) Die Aufwendungen, die Positionen der Mittelverwendung und die Verpflichtungsermächtigungen sind nach Einzelzwecken getrennt, die Erträge und die Positionen der Mittelaufbringung nach ihrem Entstehungsgrund zu veranschlagen.</w:t>
      </w:r>
    </w:p>
    <w:p>
      <w:r>
        <w:t xml:space="preserve">(5) Im Investitionsplan sind die einzelnen Vorhaben getrennt zu veranschlagen. Für nicht vorhersehbare und geringfügige Beschaffungen können Sammelansätze vorgesehen werden.</w:t>
      </w:r>
    </w:p>
    <w:p>
      <w:r>
        <w:rPr>
          <w:color w:val="555555"/>
          <w:sz w:val="17"/>
        </w:rPr>
        <w:t xml:space="preserve">Zitiervorschlag: § 12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