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FinO LFM NRW (Nordrhein-Westfalen) — Nachtragshaushaltsplan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Haushaltsplan kann nur durch einen Nachtragshaushaltsplan geändert werden. Der Nachtragshaushaltsplan ist spätestens bis zum Ablauf des Haushaltsjahres festzustellen. Es kann bei Bedarf mehr als ein Nachtragshaushaltsplan erstellt werden.</w:t>
      </w:r>
    </w:p>
    <w:p>
      <w:r>
        <w:t xml:space="preserve">(2) Der Nachtragshaushaltsplan muss alle erheblichen Änderungen der Erträge und Aufwendungen im Gesamtplan sowie in den Einzelplänen sowie der Positionen der Mittelaufbringung und der Mittelverwendung im Finanzplan enthalten.</w:t>
      </w:r>
    </w:p>
    <w:p>
      <w:r>
        <w:t xml:space="preserve">(3) Auf einen Nachtragshaushaltsplan sind die Abschnitte II bis VI entsprechend anzuwenden.</w:t>
      </w:r>
    </w:p>
    <w:p>
      <w:r>
        <w:rPr>
          <w:color w:val="555555"/>
          <w:sz w:val="17"/>
        </w:rPr>
        <w:t xml:space="preserve">Zitiervorschlag: § 11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