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FinDiszErstV — Inkrafttreten, Außerkrafttreten</w:t>
      </w:r>
    </w:p>
    <w:p>
      <w:r>
        <w:rPr>
          <w:color w:val="555555"/>
          <w:sz w:val="18"/>
        </w:rPr>
        <w:t xml:space="preserve">Finanzdisziplin-Erstattungsverordnung</w:t>
      </w:r>
    </w:p>
    <w:p>
      <w:r>
        <w:rPr>
          <w:color w:val="555555"/>
          <w:sz w:val="18"/>
        </w:rPr>
        <w:t xml:space="preserve">Stand: 10.01.2023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tritt die Haushaltsdisziplin-Erstattungsverordnung vom 9. Dezember 2014 (BAnz AT 10.12.2014 V2) außer Kraft. Abweichend von Satz 1 tritt § 3 der in Satz 1 genannten Verordnung mit Wirkung zum Ablauf des 15. Oktober 2022 außer Kraft.</w:t>
      </w:r>
    </w:p>
    <w:p>
      <w:r>
        <w:rPr>
          <w:color w:val="555555"/>
          <w:sz w:val="17"/>
        </w:rPr>
        <w:t xml:space="preserve">Zitiervorschlag: § 7 FinDiszErstV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https://recht.nulegal.eu/gesetze/FinDiszErstV/7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