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FinDiszErstV — Übergangsvorschriften</w:t>
      </w:r>
    </w:p>
    <w:p>
      <w:r>
        <w:rPr>
          <w:color w:val="555555"/>
          <w:sz w:val="18"/>
        </w:rPr>
        <w:t xml:space="preserve">Finanzdisziplin-Erstattungsverordnung</w:t>
      </w:r>
    </w:p>
    <w:p>
      <w:r>
        <w:rPr>
          <w:color w:val="555555"/>
          <w:sz w:val="18"/>
        </w:rPr>
        <w:t xml:space="preserve">Stand: 10.01.2023 (konsolidierte Textfassung, kein amtliches Inkrafttretensdatum)</w:t>
      </w:r>
    </w:p>
    <w:p>
      <w:r>
        <w:t xml:space="preserve">(1) Abweichend von § 4 haben die zuständigen Behörden der Länder der Bundesanstalt im Agrar-Haushaltsjahr 2023 den Betrag der in ihrem jeweiligen Zuständigkeitsbereich zu gewährenden Direktzahlungen im Sinne des § 3 Absatz 2 Satz 1 und 2 bis spätestens zum Ablauf des 13. Januar 2023 mitzuteilen.</w:t>
      </w:r>
    </w:p>
    <w:p>
      <w:r>
        <w:t xml:space="preserve">(2) Für ab dem Agrar-Haushaltsjahr 2023 verspätet ausgezahlte Direktzahlungsbeträge, für die Anträge bis einschließlich des Antragsjahres 2021 gestellt worden sind, ist der für das jeweilige Antragsjahr nach § 2 Absatz 1 der Haushaltsdisziplin-Erstattungsverordnung vom 9. Dezember 2014 (BAnz AT 10.12.2014 V2) ermittelte Erstattungsfaktor anzuwenden. Die Erstattung darf frühestens in dem Agrar-Haushaltsjahr erfolgen, für das der Bundesrepublik Deutschland im Rahmen eines Durchführungsrechtsakts nach Artikel 17 Absatz 3 Unterabsatz 2 der Verordnung (EU) 2021/2116 ein entsprechender Betrag zugewiesen worden ist.</w:t>
      </w:r>
    </w:p>
    <w:p>
      <w:r>
        <w:rPr>
          <w:color w:val="555555"/>
          <w:sz w:val="17"/>
        </w:rPr>
        <w:t xml:space="preserve">Zitiervorschlag: § 6 FinDiszErstV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https://recht.nulegal.eu/gesetze/FinDiszErstV/6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